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F4" w:rsidRPr="00E451D5" w:rsidRDefault="00432FF4" w:rsidP="00E45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D5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432FF4" w:rsidRPr="00E451D5" w:rsidRDefault="00432FF4" w:rsidP="00E45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1D5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E451D5">
        <w:rPr>
          <w:rFonts w:ascii="Times New Roman" w:hAnsi="Times New Roman" w:cs="Times New Roman"/>
          <w:b/>
          <w:sz w:val="28"/>
          <w:szCs w:val="28"/>
        </w:rPr>
        <w:t xml:space="preserve"> педагога детского сада</w:t>
      </w:r>
    </w:p>
    <w:p w:rsidR="00432FF4" w:rsidRPr="00E451D5" w:rsidRDefault="00432FF4" w:rsidP="00E451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1D5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E451D5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Pr="00E451D5">
        <w:rPr>
          <w:rFonts w:ascii="Times New Roman" w:hAnsi="Times New Roman" w:cs="Times New Roman"/>
          <w:sz w:val="28"/>
          <w:szCs w:val="28"/>
        </w:rPr>
        <w:t xml:space="preserve"> - это один из методов оценки профессионализма педагогов. Он включает материалы, демонстрирующие умения педагога решать задачи своей профессиональной деятельности, выбрать стратегию и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тактику профессионального поведения.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1D5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E451D5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Pr="00E451D5">
        <w:rPr>
          <w:rFonts w:ascii="Times New Roman" w:hAnsi="Times New Roman" w:cs="Times New Roman"/>
          <w:sz w:val="28"/>
          <w:szCs w:val="28"/>
        </w:rPr>
        <w:t xml:space="preserve"> - индивидуальная папка, в которой зафиксированы личные профессиональные достижения в образовательной деятельности, результаты обучения, воспитания и развития воспитанников, вклад педагога в развитие системы образования.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1D5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 даёт возможность педагогу продемонстрировать те результаты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практической деятельности, которые он считаете наиболее </w:t>
      </w:r>
      <w:proofErr w:type="gramStart"/>
      <w:r w:rsidRPr="00E451D5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  <w:r w:rsidRPr="00E451D5">
        <w:rPr>
          <w:rFonts w:ascii="Times New Roman" w:hAnsi="Times New Roman" w:cs="Times New Roman"/>
          <w:sz w:val="28"/>
          <w:szCs w:val="28"/>
        </w:rPr>
        <w:t xml:space="preserve"> для оценки своей профессиональной компетенции, позволяет демонстрировать не только результаты деятельности, но и прогресс по сравнению с предыдущими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результатами.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Существуют разные виды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>.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1D5">
        <w:rPr>
          <w:rFonts w:ascii="Times New Roman" w:hAnsi="Times New Roman" w:cs="Times New Roman"/>
          <w:b/>
          <w:i/>
          <w:sz w:val="28"/>
          <w:szCs w:val="28"/>
        </w:rPr>
        <w:t xml:space="preserve">1. Аттестационный </w:t>
      </w:r>
      <w:proofErr w:type="spellStart"/>
      <w:r w:rsidRPr="00E451D5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В период подготовки к аттестации на 1, 2 или высшую квалификационную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категорию целесообразно предложить педагогам оформить </w:t>
      </w:r>
      <w:proofErr w:type="gramStart"/>
      <w:r w:rsidRPr="00E451D5">
        <w:rPr>
          <w:rFonts w:ascii="Times New Roman" w:hAnsi="Times New Roman" w:cs="Times New Roman"/>
          <w:sz w:val="28"/>
          <w:szCs w:val="28"/>
        </w:rPr>
        <w:t>аттестационный</w:t>
      </w:r>
      <w:proofErr w:type="gramEnd"/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, который поможет наглядно показать его соответствие </w:t>
      </w:r>
      <w:proofErr w:type="gramStart"/>
      <w:r w:rsidRPr="00E451D5">
        <w:rPr>
          <w:rFonts w:ascii="Times New Roman" w:hAnsi="Times New Roman" w:cs="Times New Roman"/>
          <w:sz w:val="28"/>
          <w:szCs w:val="28"/>
        </w:rPr>
        <w:t>заявленной</w:t>
      </w:r>
      <w:proofErr w:type="gramEnd"/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квалификационной категории. В это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 могут войти материалы,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показывающие владение педагогом современными педагогическими технологиями, устойчивость и динамику результатов его деятельности, наличие оригинальных разработок, оценку деятельности участниками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 и администрацией. Педагог может по желанию включать разные рубрики, которые, по его мнению, наиболее ярко покажут его профессионализм, творчество. Однако следует ориентировать педагогов на представление материалов только за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 период, не зависимо от того, проводится аттестация планово (1 раз в 5 лет) или, по заявлению педагога, досрочно.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1D5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работе с </w:t>
      </w:r>
      <w:proofErr w:type="spellStart"/>
      <w:r w:rsidRPr="00E451D5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 может быть включено всё, что служит свидетельством усилий,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достижений и прогресса в профессиональной деятельности данного педагога.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Педагог может выбирать из предложенного ниже перечня те или иные пункты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2. Каждый отдельный материал должен датироваться</w:t>
      </w:r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3. Все материалы, которые вошли в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 xml:space="preserve">, должны найти отражение </w:t>
      </w:r>
      <w:proofErr w:type="gramStart"/>
      <w:r w:rsidRPr="00E451D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2FF4" w:rsidRPr="00E451D5" w:rsidRDefault="00432FF4" w:rsidP="00E45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 xml:space="preserve">пояснительной записке, в которой следует указать, какие материалы включены в </w:t>
      </w:r>
      <w:proofErr w:type="spellStart"/>
      <w:r w:rsidRPr="00E451D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451D5">
        <w:rPr>
          <w:rFonts w:ascii="Times New Roman" w:hAnsi="Times New Roman" w:cs="Times New Roman"/>
          <w:sz w:val="28"/>
          <w:szCs w:val="28"/>
        </w:rPr>
        <w:t>, и обосновать тот факт, что именно эти материалы являются свидетельствами профессионализма аттестуемого.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3260"/>
        <w:gridCol w:w="4219"/>
      </w:tblGrid>
      <w:tr w:rsidR="00432FF4" w:rsidRPr="00E451D5" w:rsidTr="00E451D5">
        <w:tc>
          <w:tcPr>
            <w:tcW w:w="2235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Разделы </w:t>
            </w:r>
          </w:p>
        </w:tc>
        <w:tc>
          <w:tcPr>
            <w:tcW w:w="3260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Рубрики</w:t>
            </w:r>
          </w:p>
        </w:tc>
        <w:tc>
          <w:tcPr>
            <w:tcW w:w="4219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32FF4" w:rsidRPr="00E451D5" w:rsidTr="00E451D5">
        <w:tc>
          <w:tcPr>
            <w:tcW w:w="2235" w:type="dxa"/>
            <w:vMerge w:val="restart"/>
          </w:tcPr>
          <w:p w:rsidR="00432FF4" w:rsidRPr="00F12238" w:rsidRDefault="00432FF4" w:rsidP="00E451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38">
              <w:rPr>
                <w:rFonts w:ascii="Times New Roman" w:hAnsi="Times New Roman" w:cs="Times New Roman"/>
                <w:b/>
                <w:sz w:val="28"/>
                <w:szCs w:val="28"/>
              </w:rPr>
              <w:t>Портрет</w:t>
            </w:r>
          </w:p>
        </w:tc>
        <w:tc>
          <w:tcPr>
            <w:tcW w:w="3260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Общие сведения о педагоге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год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</w:tr>
      <w:tr w:rsidR="00432FF4" w:rsidRPr="00E451D5" w:rsidTr="00E451D5">
        <w:tc>
          <w:tcPr>
            <w:tcW w:w="2235" w:type="dxa"/>
            <w:vMerge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</w:p>
        </w:tc>
        <w:tc>
          <w:tcPr>
            <w:tcW w:w="4219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Автобиография;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Резюме;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Эссе «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философия»</w:t>
            </w:r>
          </w:p>
        </w:tc>
      </w:tr>
      <w:tr w:rsidR="00432FF4" w:rsidRPr="00E451D5" w:rsidTr="00E451D5">
        <w:tc>
          <w:tcPr>
            <w:tcW w:w="2235" w:type="dxa"/>
            <w:vMerge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путь (раздел позволяет</w:t>
            </w:r>
            <w:proofErr w:type="gramEnd"/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судить о процессе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развития педагога)</w:t>
            </w:r>
          </w:p>
        </w:tc>
        <w:tc>
          <w:tcPr>
            <w:tcW w:w="4219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Образование: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ВУЗ (копии</w:t>
            </w:r>
            <w:proofErr w:type="gramEnd"/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документов)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2. Трудовой и педагогический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стаж, стаж работы в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proofErr w:type="gramEnd"/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ДОУ (место работы, период,</w:t>
            </w:r>
            <w:proofErr w:type="gramEnd"/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должность)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3. Повышение квалификации -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учреждение, дата, название курса,</w:t>
            </w:r>
            <w:r w:rsidR="00F1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объём курсовой программы (копии</w:t>
            </w:r>
            <w:r w:rsidR="00F1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подтверждающих</w:t>
            </w:r>
            <w:r w:rsidR="00F1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квалификации)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4. Наличие учёных и</w:t>
            </w:r>
            <w:r w:rsidR="00F1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почётных званий и</w:t>
            </w:r>
            <w:r w:rsidR="00F1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степеней.</w:t>
            </w:r>
          </w:p>
        </w:tc>
      </w:tr>
      <w:tr w:rsidR="00432FF4" w:rsidRPr="00E451D5" w:rsidTr="00E451D5">
        <w:tc>
          <w:tcPr>
            <w:tcW w:w="2235" w:type="dxa"/>
            <w:vMerge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4219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r w:rsidR="00F1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категория/разряд, дата и номер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приказа о присвоении категории,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32FF4" w:rsidRPr="00E451D5" w:rsidTr="00E451D5">
        <w:tc>
          <w:tcPr>
            <w:tcW w:w="2235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Коллектор</w:t>
            </w:r>
          </w:p>
        </w:tc>
        <w:tc>
          <w:tcPr>
            <w:tcW w:w="3260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Материалы, в которых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обосновывается выбор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аттестуемым: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- образовательной программы и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комплекта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учебно-методической</w:t>
            </w:r>
            <w:proofErr w:type="gramEnd"/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литературы;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- используемых образовательных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технологий;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диагностики для оценки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результатов;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- тематические подборки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литературы;</w:t>
            </w:r>
          </w:p>
          <w:p w:rsidR="00432FF4" w:rsidRPr="00E451D5" w:rsidRDefault="00432FF4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Списки прочитанных за год книг с</w:t>
            </w:r>
            <w:r w:rsidR="00F1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аннотациями.</w:t>
            </w:r>
          </w:p>
        </w:tc>
      </w:tr>
      <w:tr w:rsidR="00E451D5" w:rsidRPr="00E451D5" w:rsidTr="00E451D5">
        <w:tc>
          <w:tcPr>
            <w:tcW w:w="2235" w:type="dxa"/>
            <w:vMerge w:val="restart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Рабочие материалы</w:t>
            </w:r>
          </w:p>
        </w:tc>
        <w:tc>
          <w:tcPr>
            <w:tcW w:w="3260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свидетельствующие о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профессионализме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4219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Конспекту (планы) занятий,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праздников, развлечений и др.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</w:tr>
      <w:tr w:rsidR="00E451D5" w:rsidRPr="00E451D5" w:rsidTr="00E451D5">
        <w:tc>
          <w:tcPr>
            <w:tcW w:w="2235" w:type="dxa"/>
            <w:vMerge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работе ДОУ (организация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и проведение семинаров,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«круглых столов»,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мастер-классов и т. п.)</w:t>
            </w:r>
            <w:proofErr w:type="gramEnd"/>
          </w:p>
        </w:tc>
        <w:tc>
          <w:tcPr>
            <w:tcW w:w="4219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Список творческих работ,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рефератов, </w:t>
            </w:r>
            <w:proofErr w:type="spell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проектов;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Тексты, тезисы докладов, статей,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программы кружков, секций.</w:t>
            </w:r>
          </w:p>
        </w:tc>
      </w:tr>
      <w:tr w:rsidR="00E451D5" w:rsidRPr="00E451D5" w:rsidTr="00E451D5">
        <w:tc>
          <w:tcPr>
            <w:tcW w:w="2235" w:type="dxa"/>
            <w:vMerge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методическом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объединении</w:t>
            </w:r>
            <w:proofErr w:type="gramEnd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сотрудничество с ГМЦ,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вузами и другими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</w:p>
        </w:tc>
        <w:tc>
          <w:tcPr>
            <w:tcW w:w="4219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Тематика, степень участия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аттестуемого</w:t>
            </w:r>
            <w:proofErr w:type="gramEnd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, результаты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</w:tc>
      </w:tr>
      <w:tr w:rsidR="00E451D5" w:rsidRPr="00E451D5" w:rsidTr="00E451D5">
        <w:tc>
          <w:tcPr>
            <w:tcW w:w="2235" w:type="dxa"/>
            <w:vMerge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Тематика мероприятий, название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проводившей её организации,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форма участия;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Отзывы об участии в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, конференциях и пр.</w:t>
            </w:r>
          </w:p>
        </w:tc>
      </w:tr>
      <w:tr w:rsidR="00E451D5" w:rsidRPr="00E451D5" w:rsidTr="00E451D5">
        <w:tc>
          <w:tcPr>
            <w:tcW w:w="2235" w:type="dxa"/>
            <w:vMerge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научных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исследований, опытно-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экспериментальной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работы, разработка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авторских программ</w:t>
            </w:r>
          </w:p>
        </w:tc>
        <w:tc>
          <w:tcPr>
            <w:tcW w:w="4219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и описание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проектных, экспериментальных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работ.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Название авторских пособий,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дидактических игр и т. п.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Изготовленные наглядные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пособия, дидактические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материалы и пр.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Другие документы.</w:t>
            </w:r>
          </w:p>
        </w:tc>
      </w:tr>
      <w:tr w:rsidR="00E451D5" w:rsidRPr="00E451D5" w:rsidTr="00E451D5">
        <w:tc>
          <w:tcPr>
            <w:tcW w:w="2235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Достижения (динамика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аттестуемого педагога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определённый период)</w:t>
            </w:r>
          </w:p>
        </w:tc>
        <w:tc>
          <w:tcPr>
            <w:tcW w:w="3260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значимых правительственных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наградах</w:t>
            </w:r>
            <w:proofErr w:type="gramEnd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, грамоты,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печатные материалы.</w:t>
            </w:r>
          </w:p>
        </w:tc>
      </w:tr>
      <w:tr w:rsidR="00E451D5" w:rsidRPr="00E451D5" w:rsidTr="00E451D5">
        <w:tc>
          <w:tcPr>
            <w:tcW w:w="2235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профессиональных и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конкурсах, участие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неделях</w:t>
            </w:r>
            <w:proofErr w:type="gramEnd"/>
          </w:p>
        </w:tc>
        <w:tc>
          <w:tcPr>
            <w:tcW w:w="4219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Копии дипломов различных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</w:tc>
      </w:tr>
      <w:tr w:rsidR="00E451D5" w:rsidRPr="00E451D5" w:rsidTr="00E451D5">
        <w:tc>
          <w:tcPr>
            <w:tcW w:w="2235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1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воспитанников к </w:t>
            </w: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="00F1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в конкурсах</w:t>
            </w:r>
          </w:p>
        </w:tc>
        <w:tc>
          <w:tcPr>
            <w:tcW w:w="4219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Победители конкурсов,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 и др. Копии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дипломов, грамот, полученных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детьми.</w:t>
            </w:r>
          </w:p>
        </w:tc>
      </w:tr>
      <w:tr w:rsidR="00E451D5" w:rsidRPr="00E451D5" w:rsidTr="00E451D5">
        <w:tc>
          <w:tcPr>
            <w:tcW w:w="2235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Отзывы</w:t>
            </w:r>
          </w:p>
        </w:tc>
        <w:tc>
          <w:tcPr>
            <w:tcW w:w="4219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Отзывы детей, коллег, родителей и</w:t>
            </w:r>
            <w:r w:rsidR="00F1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</w:tr>
      <w:tr w:rsidR="00E451D5" w:rsidRPr="00E451D5" w:rsidTr="00E451D5">
        <w:tc>
          <w:tcPr>
            <w:tcW w:w="2235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4219" w:type="dxa"/>
          </w:tcPr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</w:t>
            </w:r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E451D5" w:rsidRPr="00E451D5" w:rsidRDefault="00E451D5" w:rsidP="00E45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1D5">
              <w:rPr>
                <w:rFonts w:ascii="Times New Roman" w:hAnsi="Times New Roman" w:cs="Times New Roman"/>
                <w:sz w:val="28"/>
                <w:szCs w:val="28"/>
              </w:rPr>
              <w:t>работника за 3 года</w:t>
            </w:r>
          </w:p>
        </w:tc>
      </w:tr>
    </w:tbl>
    <w:p w:rsidR="00432FF4" w:rsidRPr="00E451D5" w:rsidRDefault="00432FF4" w:rsidP="00E45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F4" w:rsidRPr="00E451D5" w:rsidRDefault="00432FF4" w:rsidP="00E45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D5">
        <w:rPr>
          <w:rFonts w:ascii="Times New Roman" w:hAnsi="Times New Roman" w:cs="Times New Roman"/>
          <w:sz w:val="28"/>
          <w:szCs w:val="28"/>
        </w:rPr>
        <w:t>Источник: http://doshvozrast.ru/metodich/konsultac66.htm</w:t>
      </w:r>
    </w:p>
    <w:p w:rsidR="0037423E" w:rsidRPr="00E451D5" w:rsidRDefault="0037423E" w:rsidP="00E45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23E" w:rsidRPr="00E451D5" w:rsidSect="00432FF4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F4"/>
    <w:rsid w:val="0037423E"/>
    <w:rsid w:val="00432FF4"/>
    <w:rsid w:val="00E451D5"/>
    <w:rsid w:val="00F1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FF4"/>
    <w:pPr>
      <w:spacing w:after="0" w:line="240" w:lineRule="auto"/>
    </w:pPr>
  </w:style>
  <w:style w:type="table" w:styleId="a4">
    <w:name w:val="Table Grid"/>
    <w:basedOn w:val="a1"/>
    <w:uiPriority w:val="59"/>
    <w:rsid w:val="0043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3</cp:revision>
  <dcterms:created xsi:type="dcterms:W3CDTF">2022-12-21T06:19:00Z</dcterms:created>
  <dcterms:modified xsi:type="dcterms:W3CDTF">2022-12-21T06:41:00Z</dcterms:modified>
</cp:coreProperties>
</file>